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D015A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864069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bookmarkStart w:id="0" w:name="_GoBack"/>
      <w:bookmarkEnd w:id="0"/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B791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1D015A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Construcción de salón de usos múltiples/comedor, sala de psicomotricidad, 5 aulas, espacios exteriores propios y cancha para los tres centros educativos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1D015A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80 YOUNG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1D015A">
        <w:rPr>
          <w:rFonts w:ascii="Times New Roman" w:hAnsi="Times New Roman" w:cs="Times New Roman"/>
          <w:b/>
        </w:rPr>
        <w:t>RÍO NEGRO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9A3E43">
        <w:rPr>
          <w:b/>
          <w:bCs/>
          <w:sz w:val="32"/>
          <w:szCs w:val="36"/>
          <w:u w:val="single"/>
        </w:rPr>
        <w:t>CND-PyS/PyS/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1D015A">
        <w:rPr>
          <w:b/>
          <w:bCs/>
          <w:sz w:val="32"/>
          <w:szCs w:val="36"/>
          <w:u w:val="single"/>
        </w:rPr>
        <w:t>163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1D015A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64069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0DAD3-11C2-4821-AFA2-E3CA45286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69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35</cp:revision>
  <dcterms:created xsi:type="dcterms:W3CDTF">2015-06-17T15:07:00Z</dcterms:created>
  <dcterms:modified xsi:type="dcterms:W3CDTF">2018-07-26T18:19:00Z</dcterms:modified>
</cp:coreProperties>
</file>